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B3764C" w:rsidRPr="003C7B3D" w:rsidTr="00CE0DBE">
        <w:trPr>
          <w:trHeight w:val="1099"/>
        </w:trPr>
        <w:tc>
          <w:tcPr>
            <w:tcW w:w="9212" w:type="dxa"/>
            <w:vAlign w:val="center"/>
          </w:tcPr>
          <w:p w:rsidR="00B3764C" w:rsidRDefault="00B3764C" w:rsidP="00CE0DBE">
            <w:pPr>
              <w:shd w:val="clear" w:color="92CDDC" w:themeColor="accent5" w:themeTint="99" w:fill="auto"/>
              <w:spacing w:after="0"/>
              <w:jc w:val="center"/>
              <w:rPr>
                <w:b/>
                <w:sz w:val="56"/>
              </w:rPr>
            </w:pPr>
            <w:r>
              <w:rPr>
                <w:b/>
                <w:sz w:val="56"/>
              </w:rPr>
              <w:t>Latin</w:t>
            </w:r>
          </w:p>
          <w:p w:rsidR="00B3764C" w:rsidRPr="003C7B3D" w:rsidRDefault="00B3764C" w:rsidP="00CE0DBE">
            <w:pPr>
              <w:shd w:val="clear" w:color="92CDDC" w:themeColor="accent5" w:themeTint="99" w:fill="auto"/>
              <w:spacing w:after="0" w:line="240" w:lineRule="auto"/>
              <w:jc w:val="center"/>
              <w:rPr>
                <w:rFonts w:asciiTheme="minorHAnsi" w:eastAsiaTheme="minorHAnsi" w:hAnsiTheme="minorHAnsi" w:cstheme="minorBidi"/>
                <w:b/>
                <w:sz w:val="56"/>
              </w:rPr>
            </w:pPr>
            <w:r w:rsidRPr="007D6EE3">
              <w:rPr>
                <w:b/>
                <w:sz w:val="40"/>
                <w:szCs w:val="40"/>
              </w:rPr>
              <w:t>Langues et cultures de l’Antiquité</w:t>
            </w:r>
          </w:p>
        </w:tc>
      </w:tr>
    </w:tbl>
    <w:p w:rsidR="00B3764C" w:rsidRDefault="00C20072" w:rsidP="00B3764C">
      <w:pPr>
        <w:shd w:val="clear" w:color="92CDDC" w:themeColor="accent5" w:themeTint="99" w:fill="auto"/>
        <w:jc w:val="center"/>
        <w:rPr>
          <w:b/>
          <w:sz w:val="56"/>
        </w:rPr>
      </w:pPr>
      <w:r>
        <w:rPr>
          <w:b/>
          <w:noProof/>
          <w:sz w:val="56"/>
          <w:lang w:eastAsia="fr-FR"/>
        </w:rPr>
        <w:pict>
          <v:shapetype id="_x0000_t202" coordsize="21600,21600" o:spt="202" path="m,l,21600r21600,l21600,xe">
            <v:stroke joinstyle="miter"/>
            <v:path gradientshapeok="t" o:connecttype="rect"/>
          </v:shapetype>
          <v:shape id="_x0000_s1031" type="#_x0000_t202" style="position:absolute;left:0;text-align:left;margin-left:-5.6pt;margin-top:15.65pt;width:459.75pt;height:50.6pt;z-index:251656704;mso-position-horizontal-relative:text;mso-position-vertical-relative:text;mso-width-relative:margin;mso-height-relative:margin" strokeweight="2.25pt">
            <v:textbox>
              <w:txbxContent>
                <w:p w:rsidR="00B3764C" w:rsidRPr="009112C2" w:rsidRDefault="00B3764C" w:rsidP="00B3764C">
                  <w:pPr>
                    <w:rPr>
                      <w:rFonts w:asciiTheme="minorHAnsi" w:hAnsiTheme="minorHAnsi" w:cs="Arial"/>
                      <w:sz w:val="32"/>
                    </w:rPr>
                  </w:pPr>
                  <w:r w:rsidRPr="009112C2">
                    <w:rPr>
                      <w:rFonts w:asciiTheme="minorHAnsi" w:hAnsiTheme="minorHAnsi" w:cs="Arial"/>
                      <w:color w:val="000000"/>
                      <w:sz w:val="24"/>
                      <w:szCs w:val="18"/>
                      <w:shd w:val="clear" w:color="auto" w:fill="F6F6F6"/>
                    </w:rPr>
                    <w:t>Enrichir ses connaissances du français, de l’histoire et des langues vivantes. Apporter une culture générale essentielle pour comprendre le monde d’aujourd’hui.</w:t>
                  </w:r>
                </w:p>
              </w:txbxContent>
            </v:textbox>
          </v:shape>
        </w:pict>
      </w:r>
    </w:p>
    <w:p w:rsidR="00B3764C" w:rsidRPr="006E1AB1" w:rsidRDefault="00C20072" w:rsidP="00B3764C">
      <w:pPr>
        <w:shd w:val="clear" w:color="92CDDC" w:themeColor="accent5" w:themeTint="99" w:fill="auto"/>
        <w:jc w:val="center"/>
        <w:rPr>
          <w:b/>
          <w:sz w:val="52"/>
          <w:szCs w:val="52"/>
        </w:rPr>
      </w:pPr>
      <w:r>
        <w:rPr>
          <w:b/>
          <w:noProof/>
          <w:sz w:val="52"/>
          <w:szCs w:val="52"/>
        </w:rPr>
        <w:pict>
          <v:shape id="_x0000_s1029" type="#_x0000_t202" style="position:absolute;left:0;text-align:left;margin-left:-5.6pt;margin-top:32.05pt;width:459.75pt;height:212.6pt;z-index:251657728;mso-position-horizontal-relative:text;mso-position-vertical-relative:text;mso-width-relative:margin;mso-height-relative:margin" strokeweight="2.25pt">
            <v:textbox style="mso-next-textbox:#_x0000_s1029">
              <w:txbxContent>
                <w:p w:rsidR="00B3764C" w:rsidRDefault="00B3764C" w:rsidP="00B3764C">
                  <w:pPr>
                    <w:jc w:val="center"/>
                  </w:pPr>
                  <w:r w:rsidRPr="009112C2">
                    <w:rPr>
                      <w:noProof/>
                      <w:lang w:eastAsia="fr-FR"/>
                    </w:rPr>
                    <w:drawing>
                      <wp:inline distT="0" distB="0" distL="0" distR="0">
                        <wp:extent cx="4086225" cy="2561572"/>
                        <wp:effectExtent l="19050" t="0" r="0" b="0"/>
                        <wp:docPr id="3" name="Image 1" descr="Macintosh HD:Users:marionbonneau:Pictures:iPhoto Library:Originals:2013:20 juin 2013:88-0019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bonneau:Pictures:iPhoto Library:Originals:2013:20 juin 2013:88-001956-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4374" cy="2566681"/>
                                </a:xfrm>
                                <a:prstGeom prst="rect">
                                  <a:avLst/>
                                </a:prstGeom>
                                <a:noFill/>
                                <a:ln>
                                  <a:noFill/>
                                </a:ln>
                              </pic:spPr>
                            </pic:pic>
                          </a:graphicData>
                        </a:graphic>
                      </wp:inline>
                    </w:drawing>
                  </w:r>
                </w:p>
                <w:p w:rsidR="00B3764C" w:rsidRDefault="00B3764C" w:rsidP="00B3764C"/>
                <w:p w:rsidR="00B3764C" w:rsidRDefault="00B3764C" w:rsidP="00B3764C"/>
              </w:txbxContent>
            </v:textbox>
          </v:shape>
        </w:pict>
      </w:r>
    </w:p>
    <w:p w:rsidR="00B3764C" w:rsidRPr="00DF6100" w:rsidRDefault="00B3764C" w:rsidP="00B3764C">
      <w:pPr>
        <w:rPr>
          <w:sz w:val="56"/>
        </w:rPr>
      </w:pPr>
    </w:p>
    <w:p w:rsidR="00B3764C" w:rsidRPr="00DF6100" w:rsidRDefault="00B3764C" w:rsidP="00B3764C">
      <w:pPr>
        <w:rPr>
          <w:sz w:val="56"/>
        </w:rPr>
      </w:pPr>
    </w:p>
    <w:p w:rsidR="00B3764C" w:rsidRPr="00DF6100" w:rsidRDefault="00B3764C" w:rsidP="00B3764C">
      <w:pPr>
        <w:rPr>
          <w:sz w:val="56"/>
        </w:rPr>
      </w:pPr>
    </w:p>
    <w:p w:rsidR="00B3764C" w:rsidRPr="00DF6100" w:rsidRDefault="00B3764C" w:rsidP="00B3764C">
      <w:pPr>
        <w:rPr>
          <w:sz w:val="56"/>
        </w:rPr>
      </w:pPr>
    </w:p>
    <w:p w:rsidR="00B3764C" w:rsidRPr="00DF6100" w:rsidRDefault="00C20072" w:rsidP="00B3764C">
      <w:pPr>
        <w:rPr>
          <w:sz w:val="56"/>
        </w:rPr>
      </w:pPr>
      <w:r w:rsidRPr="00C20072">
        <w:rPr>
          <w:b/>
          <w:noProof/>
          <w:sz w:val="56"/>
          <w:lang w:eastAsia="fr-FR"/>
        </w:rPr>
        <w:pict>
          <v:shape id="_x0000_s1030" type="#_x0000_t202" style="position:absolute;margin-left:-5.6pt;margin-top:17.8pt;width:459.75pt;height:264.55pt;z-index:251658752;mso-width-relative:margin;mso-height-relative:margin" strokeweight="2.25pt">
            <v:textbox style="mso-next-textbox:#_x0000_s1030">
              <w:txbxContent>
                <w:p w:rsidR="004361CA" w:rsidRDefault="004361CA" w:rsidP="00B3764C">
                  <w:pPr>
                    <w:jc w:val="both"/>
                    <w:rPr>
                      <w:sz w:val="24"/>
                      <w:szCs w:val="24"/>
                    </w:rPr>
                  </w:pPr>
                </w:p>
                <w:p w:rsidR="00B3764C" w:rsidRPr="004361CA" w:rsidRDefault="00E64B6E" w:rsidP="00B3764C">
                  <w:pPr>
                    <w:jc w:val="both"/>
                    <w:rPr>
                      <w:sz w:val="24"/>
                      <w:szCs w:val="24"/>
                    </w:rPr>
                  </w:pPr>
                  <w:r w:rsidRPr="004361CA">
                    <w:rPr>
                      <w:sz w:val="24"/>
                      <w:szCs w:val="24"/>
                    </w:rPr>
                    <w:t>Au lycée Dumont d'Urville que l'élève ait fait du latin ou non au collège, il peut choisir cette matière comme enseignement d'exploration (2 heures par semaine). Ens</w:t>
                  </w:r>
                  <w:r w:rsidR="00264EDF" w:rsidRPr="004361CA">
                    <w:rPr>
                      <w:sz w:val="24"/>
                      <w:szCs w:val="24"/>
                    </w:rPr>
                    <w:t>uite, celui-ci est poursuivi sous</w:t>
                  </w:r>
                  <w:r w:rsidRPr="004361CA">
                    <w:rPr>
                      <w:sz w:val="24"/>
                      <w:szCs w:val="24"/>
                    </w:rPr>
                    <w:t xml:space="preserve"> forme d'option en </w:t>
                  </w:r>
                  <w:r w:rsidR="00264EDF" w:rsidRPr="004361CA">
                    <w:rPr>
                      <w:sz w:val="24"/>
                      <w:szCs w:val="24"/>
                    </w:rPr>
                    <w:t>Première</w:t>
                  </w:r>
                  <w:r w:rsidRPr="004361CA">
                    <w:rPr>
                      <w:sz w:val="24"/>
                      <w:szCs w:val="24"/>
                    </w:rPr>
                    <w:t xml:space="preserve"> et Terminale jusqu'au baccalauréat, épreuve à laquelle </w:t>
                  </w:r>
                  <w:proofErr w:type="gramStart"/>
                  <w:r w:rsidRPr="004361CA">
                    <w:rPr>
                      <w:sz w:val="24"/>
                      <w:szCs w:val="24"/>
                    </w:rPr>
                    <w:t>seul</w:t>
                  </w:r>
                  <w:proofErr w:type="gramEnd"/>
                  <w:r w:rsidRPr="004361CA">
                    <w:rPr>
                      <w:sz w:val="24"/>
                      <w:szCs w:val="24"/>
                    </w:rPr>
                    <w:t xml:space="preserve"> les points au-dessus de la moyenne comptent.</w:t>
                  </w:r>
                </w:p>
                <w:p w:rsidR="00B3764C" w:rsidRPr="004361CA" w:rsidRDefault="00B3764C" w:rsidP="00B3764C">
                  <w:pPr>
                    <w:jc w:val="both"/>
                    <w:rPr>
                      <w:sz w:val="24"/>
                      <w:szCs w:val="24"/>
                    </w:rPr>
                  </w:pPr>
                  <w:r w:rsidRPr="004361CA">
                    <w:rPr>
                      <w:sz w:val="24"/>
                      <w:szCs w:val="24"/>
                    </w:rPr>
                    <w:t>En classe de seconde, le latin apporte une culture générale essentielle pour comprendre le monde d’aujourd’hui, et se révèle indispensable pour enrichir ses connaissances du français, de l’histoire mais aussi des langues vivantes.</w:t>
                  </w:r>
                </w:p>
                <w:p w:rsidR="00B3764C" w:rsidRDefault="00B3764C" w:rsidP="00B3764C">
                  <w:pPr>
                    <w:jc w:val="both"/>
                  </w:pPr>
                  <w:r w:rsidRPr="004361CA">
                    <w:rPr>
                      <w:sz w:val="24"/>
                      <w:szCs w:val="24"/>
                    </w:rPr>
                    <w:t>En classe de seconde, l’enseignement du latin prend une dimension moins scolaire, car on insiste davantage sur la littérature et la civilisation latines. Activités en autonomie et travaux de groupe sont le cœur du déroulemen</w:t>
                  </w:r>
                  <w:r w:rsidR="004361CA" w:rsidRPr="004361CA">
                    <w:rPr>
                      <w:sz w:val="24"/>
                      <w:szCs w:val="24"/>
                    </w:rPr>
                    <w:t>t du cours. Par ailleurs, cet enseignement d'exploration</w:t>
                  </w:r>
                  <w:r w:rsidRPr="004361CA">
                    <w:rPr>
                      <w:sz w:val="24"/>
                      <w:szCs w:val="24"/>
                    </w:rPr>
                    <w:t xml:space="preserve"> se prête particulièrement aux sorties et voyages culturels</w:t>
                  </w:r>
                  <w:r>
                    <w:t>.</w:t>
                  </w:r>
                </w:p>
              </w:txbxContent>
            </v:textbox>
          </v:shape>
        </w:pict>
      </w:r>
    </w:p>
    <w:p w:rsidR="00B3764C" w:rsidRPr="00DF6100" w:rsidRDefault="00B3764C" w:rsidP="00B3764C">
      <w:pPr>
        <w:rPr>
          <w:sz w:val="56"/>
        </w:rPr>
      </w:pPr>
    </w:p>
    <w:p w:rsidR="00B3764C" w:rsidRPr="00DF6100" w:rsidRDefault="00B3764C" w:rsidP="00B3764C">
      <w:pPr>
        <w:rPr>
          <w:sz w:val="56"/>
        </w:rPr>
      </w:pPr>
    </w:p>
    <w:p w:rsidR="00B3764C" w:rsidRDefault="00B3764C" w:rsidP="00B3764C">
      <w:pPr>
        <w:rPr>
          <w:sz w:val="56"/>
        </w:rPr>
      </w:pPr>
    </w:p>
    <w:tbl>
      <w:tblPr>
        <w:tblpPr w:leftFromText="141" w:rightFromText="141" w:vertAnchor="text" w:horzAnchor="margin" w:tblpY="21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B3764C" w:rsidRPr="003C7B3D" w:rsidTr="006E1AB1">
        <w:trPr>
          <w:trHeight w:val="522"/>
        </w:trPr>
        <w:tc>
          <w:tcPr>
            <w:tcW w:w="9212" w:type="dxa"/>
            <w:vAlign w:val="center"/>
          </w:tcPr>
          <w:p w:rsidR="00B3764C" w:rsidRPr="003C7B3D" w:rsidRDefault="00B3764C" w:rsidP="00CE0DBE">
            <w:pPr>
              <w:spacing w:after="0" w:line="240" w:lineRule="auto"/>
              <w:jc w:val="center"/>
              <w:rPr>
                <w:rFonts w:asciiTheme="minorHAnsi" w:eastAsiaTheme="minorHAnsi" w:hAnsiTheme="minorHAnsi" w:cstheme="minorBidi"/>
                <w:sz w:val="28"/>
              </w:rPr>
            </w:pPr>
            <w:r w:rsidRPr="003C7B3D">
              <w:rPr>
                <w:rFonts w:asciiTheme="minorHAnsi" w:eastAsiaTheme="minorHAnsi" w:hAnsiTheme="minorHAnsi" w:cstheme="minorBidi"/>
                <w:sz w:val="28"/>
              </w:rPr>
              <w:t xml:space="preserve">Disciplines concernées : </w:t>
            </w:r>
            <w:r>
              <w:rPr>
                <w:rFonts w:asciiTheme="minorHAnsi" w:eastAsiaTheme="minorHAnsi" w:hAnsiTheme="minorHAnsi" w:cstheme="minorBidi"/>
                <w:sz w:val="28"/>
              </w:rPr>
              <w:t>lettres classiques</w:t>
            </w:r>
          </w:p>
        </w:tc>
      </w:tr>
    </w:tbl>
    <w:p w:rsidR="00AE516D" w:rsidRPr="00B3764C" w:rsidRDefault="00AE516D" w:rsidP="00B3764C"/>
    <w:sectPr w:rsidR="00AE516D" w:rsidRPr="00B3764C" w:rsidSect="00AE516D">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5A" w:rsidRDefault="00AD225A" w:rsidP="002E01BA">
      <w:pPr>
        <w:spacing w:after="0" w:line="240" w:lineRule="auto"/>
      </w:pPr>
      <w:r>
        <w:separator/>
      </w:r>
    </w:p>
  </w:endnote>
  <w:endnote w:type="continuationSeparator" w:id="0">
    <w:p w:rsidR="00AD225A" w:rsidRDefault="00AD225A" w:rsidP="002E0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EC" w:rsidRDefault="00B510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EC" w:rsidRDefault="00B510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EC" w:rsidRDefault="00B510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5A" w:rsidRDefault="00AD225A" w:rsidP="002E01BA">
      <w:pPr>
        <w:spacing w:after="0" w:line="240" w:lineRule="auto"/>
      </w:pPr>
      <w:r>
        <w:separator/>
      </w:r>
    </w:p>
  </w:footnote>
  <w:footnote w:type="continuationSeparator" w:id="0">
    <w:p w:rsidR="00AD225A" w:rsidRDefault="00AD225A" w:rsidP="002E0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EC" w:rsidRDefault="00B510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BA" w:rsidRPr="00E87E72" w:rsidRDefault="005866D6" w:rsidP="005866D6">
    <w:pPr>
      <w:pStyle w:val="En-tte"/>
      <w:tabs>
        <w:tab w:val="clear" w:pos="4536"/>
        <w:tab w:val="clear" w:pos="9072"/>
        <w:tab w:val="right" w:pos="13892"/>
      </w:tabs>
      <w:jc w:val="center"/>
      <w:rPr>
        <w:rFonts w:ascii="Harlow Solid Italic" w:hAnsi="Harlow Solid Italic" w:cs="Aharoni"/>
        <w:sz w:val="48"/>
        <w:szCs w:val="64"/>
      </w:rPr>
    </w:pPr>
    <w:r>
      <w:rPr>
        <w:rFonts w:ascii="Harlow Solid Italic" w:hAnsi="Harlow Solid Italic" w:cs="Aharoni"/>
        <w:sz w:val="48"/>
        <w:szCs w:val="64"/>
      </w:rPr>
      <w:t xml:space="preserve">      </w:t>
    </w:r>
    <w:r w:rsidRPr="005866D6">
      <w:rPr>
        <w:rFonts w:ascii="Harlow Solid Italic" w:hAnsi="Harlow Solid Italic" w:cs="Aharoni"/>
        <w:noProof/>
        <w:sz w:val="48"/>
        <w:szCs w:val="64"/>
        <w:lang w:eastAsia="fr-FR"/>
      </w:rPr>
      <w:drawing>
        <wp:inline distT="0" distB="0" distL="0" distR="0">
          <wp:extent cx="1666875" cy="866280"/>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66875" cy="866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EC" w:rsidRDefault="00B510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3AB4"/>
    <w:multiLevelType w:val="hybridMultilevel"/>
    <w:tmpl w:val="9C72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08254F"/>
    <w:multiLevelType w:val="hybridMultilevel"/>
    <w:tmpl w:val="0F76A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2E01BA"/>
    <w:rsid w:val="000265C9"/>
    <w:rsid w:val="00091BFC"/>
    <w:rsid w:val="000A3A5A"/>
    <w:rsid w:val="00157379"/>
    <w:rsid w:val="001B17B4"/>
    <w:rsid w:val="001B3A97"/>
    <w:rsid w:val="00222825"/>
    <w:rsid w:val="00264EDF"/>
    <w:rsid w:val="002E01BA"/>
    <w:rsid w:val="002E63AB"/>
    <w:rsid w:val="002F7223"/>
    <w:rsid w:val="00382212"/>
    <w:rsid w:val="00403A64"/>
    <w:rsid w:val="004361CA"/>
    <w:rsid w:val="004F4020"/>
    <w:rsid w:val="00573652"/>
    <w:rsid w:val="005866D6"/>
    <w:rsid w:val="005F4BDF"/>
    <w:rsid w:val="00697BD6"/>
    <w:rsid w:val="006D7BAE"/>
    <w:rsid w:val="006E1AB1"/>
    <w:rsid w:val="007B605A"/>
    <w:rsid w:val="00846DEF"/>
    <w:rsid w:val="008E3E36"/>
    <w:rsid w:val="008E5806"/>
    <w:rsid w:val="008F19DF"/>
    <w:rsid w:val="009F7359"/>
    <w:rsid w:val="00A23F99"/>
    <w:rsid w:val="00A5495F"/>
    <w:rsid w:val="00A6690C"/>
    <w:rsid w:val="00A76F25"/>
    <w:rsid w:val="00A86E30"/>
    <w:rsid w:val="00AD225A"/>
    <w:rsid w:val="00AE0412"/>
    <w:rsid w:val="00AE516D"/>
    <w:rsid w:val="00B3764C"/>
    <w:rsid w:val="00B510EC"/>
    <w:rsid w:val="00B77169"/>
    <w:rsid w:val="00C178A8"/>
    <w:rsid w:val="00C20072"/>
    <w:rsid w:val="00C2496C"/>
    <w:rsid w:val="00C5287E"/>
    <w:rsid w:val="00D03032"/>
    <w:rsid w:val="00D2323B"/>
    <w:rsid w:val="00D27780"/>
    <w:rsid w:val="00D611C5"/>
    <w:rsid w:val="00DD790B"/>
    <w:rsid w:val="00DF6100"/>
    <w:rsid w:val="00E64B6E"/>
    <w:rsid w:val="00E87E72"/>
    <w:rsid w:val="00EA71B0"/>
    <w:rsid w:val="00F269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4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1BA"/>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2E01BA"/>
  </w:style>
  <w:style w:type="paragraph" w:styleId="Pieddepage">
    <w:name w:val="footer"/>
    <w:basedOn w:val="Normal"/>
    <w:link w:val="PieddepageCar"/>
    <w:unhideWhenUsed/>
    <w:rsid w:val="002E01BA"/>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2E01BA"/>
  </w:style>
  <w:style w:type="paragraph" w:styleId="Textedebulles">
    <w:name w:val="Balloon Text"/>
    <w:basedOn w:val="Normal"/>
    <w:link w:val="TextedebullesCar"/>
    <w:uiPriority w:val="99"/>
    <w:semiHidden/>
    <w:unhideWhenUsed/>
    <w:rsid w:val="002E01B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E01BA"/>
    <w:rPr>
      <w:rFonts w:ascii="Tahoma" w:hAnsi="Tahoma" w:cs="Tahoma"/>
      <w:sz w:val="16"/>
      <w:szCs w:val="16"/>
    </w:rPr>
  </w:style>
  <w:style w:type="table" w:styleId="Grilledutableau">
    <w:name w:val="Table Grid"/>
    <w:basedOn w:val="TableauNormal"/>
    <w:uiPriority w:val="59"/>
    <w:rsid w:val="001B1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287E"/>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DD790B"/>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43490565">
      <w:bodyDiv w:val="1"/>
      <w:marLeft w:val="0"/>
      <w:marRight w:val="0"/>
      <w:marTop w:val="0"/>
      <w:marBottom w:val="0"/>
      <w:divBdr>
        <w:top w:val="none" w:sz="0" w:space="0" w:color="auto"/>
        <w:left w:val="none" w:sz="0" w:space="0" w:color="auto"/>
        <w:bottom w:val="none" w:sz="0" w:space="0" w:color="auto"/>
        <w:right w:val="none" w:sz="0" w:space="0" w:color="auto"/>
      </w:divBdr>
    </w:div>
    <w:div w:id="1037243221">
      <w:bodyDiv w:val="1"/>
      <w:marLeft w:val="0"/>
      <w:marRight w:val="0"/>
      <w:marTop w:val="0"/>
      <w:marBottom w:val="0"/>
      <w:divBdr>
        <w:top w:val="none" w:sz="0" w:space="0" w:color="auto"/>
        <w:left w:val="none" w:sz="0" w:space="0" w:color="auto"/>
        <w:bottom w:val="none" w:sz="0" w:space="0" w:color="auto"/>
        <w:right w:val="none" w:sz="0" w:space="0" w:color="auto"/>
      </w:divBdr>
    </w:div>
    <w:div w:id="2095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15</Words>
  <Characters>86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provadj</dc:creator>
  <cp:lastModifiedBy>proviseur</cp:lastModifiedBy>
  <cp:revision>9</cp:revision>
  <cp:lastPrinted>2018-04-04T06:42:00Z</cp:lastPrinted>
  <dcterms:created xsi:type="dcterms:W3CDTF">2018-04-04T06:36:00Z</dcterms:created>
  <dcterms:modified xsi:type="dcterms:W3CDTF">2018-05-22T17:46:00Z</dcterms:modified>
</cp:coreProperties>
</file>