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05" w:rsidRDefault="00B00405" w:rsidP="00414C1D">
      <w:pPr>
        <w:jc w:val="center"/>
        <w:rPr>
          <w:rFonts w:ascii="Corbel" w:hAnsi="Corbel"/>
          <w:sz w:val="44"/>
          <w:szCs w:val="44"/>
        </w:rPr>
      </w:pPr>
      <w:r>
        <w:rPr>
          <w:rFonts w:ascii="Corbel" w:hAnsi="Corbel"/>
          <w:noProof/>
          <w:sz w:val="44"/>
          <w:szCs w:val="44"/>
          <w:lang w:eastAsia="fr-FR"/>
        </w:rPr>
        <w:drawing>
          <wp:inline distT="0" distB="0" distL="0" distR="0">
            <wp:extent cx="4170680" cy="2607945"/>
            <wp:effectExtent l="19050" t="0" r="1270" b="0"/>
            <wp:docPr id="1" name="Image 1" descr="Résultat de recherche d'images pour &quot;ce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eta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915A85" w:rsidRPr="003E3C33" w:rsidRDefault="00915A85" w:rsidP="00414C1D">
      <w:pPr>
        <w:jc w:val="center"/>
        <w:rPr>
          <w:rFonts w:ascii="Corbel" w:hAnsi="Corbel"/>
          <w:b/>
          <w:sz w:val="44"/>
          <w:szCs w:val="44"/>
        </w:rPr>
      </w:pPr>
      <w:r w:rsidRPr="003E3C33">
        <w:rPr>
          <w:rFonts w:ascii="Corbel" w:hAnsi="Corbel"/>
          <w:b/>
          <w:sz w:val="44"/>
          <w:szCs w:val="44"/>
        </w:rPr>
        <w:t>CETA</w:t>
      </w:r>
    </w:p>
    <w:p w:rsidR="0001632C" w:rsidRPr="00326A58" w:rsidRDefault="00326A58" w:rsidP="00414C1D">
      <w:pPr>
        <w:jc w:val="both"/>
        <w:rPr>
          <w:rFonts w:ascii="Corbel" w:hAnsi="Corbel"/>
          <w:i/>
          <w:sz w:val="40"/>
          <w:szCs w:val="40"/>
        </w:rPr>
      </w:pPr>
      <w:r w:rsidRPr="00326A58">
        <w:rPr>
          <w:rFonts w:ascii="Corbel" w:hAnsi="Corbel"/>
          <w:i/>
          <w:sz w:val="40"/>
          <w:szCs w:val="40"/>
        </w:rPr>
        <w:t xml:space="preserve">Nous allons parlons de </w:t>
      </w:r>
      <w:r w:rsidR="00414C1D">
        <w:rPr>
          <w:rFonts w:ascii="Corbel" w:hAnsi="Corbel"/>
          <w:i/>
          <w:sz w:val="40"/>
          <w:szCs w:val="40"/>
        </w:rPr>
        <w:t>ce qu’est</w:t>
      </w:r>
      <w:r w:rsidRPr="00326A58">
        <w:rPr>
          <w:rFonts w:ascii="Corbel" w:hAnsi="Corbel"/>
          <w:i/>
          <w:sz w:val="40"/>
          <w:szCs w:val="40"/>
        </w:rPr>
        <w:t xml:space="preserve"> le CETA et</w:t>
      </w:r>
      <w:r>
        <w:rPr>
          <w:rFonts w:ascii="Corbel" w:hAnsi="Corbel"/>
          <w:i/>
          <w:sz w:val="40"/>
          <w:szCs w:val="40"/>
        </w:rPr>
        <w:t xml:space="preserve"> de</w:t>
      </w:r>
      <w:r w:rsidRPr="00326A58">
        <w:rPr>
          <w:rFonts w:ascii="Corbel" w:hAnsi="Corbel"/>
          <w:i/>
          <w:sz w:val="40"/>
          <w:szCs w:val="40"/>
        </w:rPr>
        <w:t xml:space="preserve"> son importance.</w:t>
      </w:r>
    </w:p>
    <w:p w:rsidR="0001632C" w:rsidRDefault="00915A85" w:rsidP="00414C1D">
      <w:pPr>
        <w:ind w:left="708"/>
        <w:jc w:val="both"/>
        <w:rPr>
          <w:rFonts w:ascii="Bookman Old Style" w:hAnsi="Bookman Old Style" w:cs="David"/>
          <w:sz w:val="36"/>
          <w:szCs w:val="36"/>
        </w:rPr>
      </w:pPr>
      <w:r w:rsidRPr="002216CB">
        <w:rPr>
          <w:rFonts w:ascii="Bookman Old Style" w:hAnsi="Bookman Old Style" w:cs="David"/>
          <w:sz w:val="36"/>
          <w:szCs w:val="36"/>
        </w:rPr>
        <w:t xml:space="preserve">Le CETA est le sigle pour </w:t>
      </w:r>
      <w:proofErr w:type="spellStart"/>
      <w:r w:rsidRPr="002216CB">
        <w:rPr>
          <w:rFonts w:ascii="Bookman Old Style" w:hAnsi="Bookman Old Style" w:cs="David"/>
          <w:sz w:val="36"/>
          <w:szCs w:val="36"/>
        </w:rPr>
        <w:t>Comprehensive</w:t>
      </w:r>
      <w:proofErr w:type="spellEnd"/>
      <w:r w:rsidRPr="002216CB">
        <w:rPr>
          <w:rFonts w:ascii="Bookman Old Style" w:hAnsi="Bookman Old Style" w:cs="David"/>
          <w:sz w:val="36"/>
          <w:szCs w:val="36"/>
        </w:rPr>
        <w:t xml:space="preserve"> </w:t>
      </w:r>
      <w:proofErr w:type="spellStart"/>
      <w:r w:rsidRPr="002216CB">
        <w:rPr>
          <w:rFonts w:ascii="Bookman Old Style" w:hAnsi="Bookman Old Style" w:cs="David"/>
          <w:sz w:val="36"/>
          <w:szCs w:val="36"/>
        </w:rPr>
        <w:t>Economic</w:t>
      </w:r>
      <w:proofErr w:type="spellEnd"/>
      <w:r w:rsidRPr="002216CB">
        <w:rPr>
          <w:rFonts w:ascii="Bookman Old Style" w:hAnsi="Bookman Old Style" w:cs="David"/>
          <w:sz w:val="36"/>
          <w:szCs w:val="36"/>
        </w:rPr>
        <w:t xml:space="preserve"> and Trade Agreement ou AECG (L’accord économique et commercial global).</w:t>
      </w:r>
      <w:r w:rsidR="0001632C" w:rsidRPr="0001632C">
        <w:rPr>
          <w:rFonts w:ascii="Bookman Old Style" w:hAnsi="Bookman Old Style"/>
          <w:sz w:val="36"/>
          <w:szCs w:val="36"/>
        </w:rPr>
        <w:t xml:space="preserve"> </w:t>
      </w:r>
      <w:r w:rsidR="0001632C">
        <w:rPr>
          <w:rFonts w:ascii="Bookman Old Style" w:hAnsi="Bookman Old Style"/>
          <w:sz w:val="36"/>
          <w:szCs w:val="36"/>
        </w:rPr>
        <w:t xml:space="preserve">L’Europe s’intéresse au Canada qui est classé </w:t>
      </w:r>
      <w:r w:rsidR="0001632C" w:rsidRPr="0001632C">
        <w:rPr>
          <w:rFonts w:ascii="Bookman Old Style" w:hAnsi="Bookman Old Style"/>
          <w:sz w:val="36"/>
          <w:szCs w:val="36"/>
        </w:rPr>
        <w:t>au 12ème rang des relations commerciales de l'Union européenne, tandis que l'UE est le deuxième partenaire commercial du Canada</w:t>
      </w:r>
      <w:r w:rsidR="0001632C">
        <w:rPr>
          <w:rFonts w:ascii="Bookman Old Style" w:hAnsi="Bookman Old Style"/>
          <w:sz w:val="36"/>
          <w:szCs w:val="36"/>
        </w:rPr>
        <w:t>.</w:t>
      </w:r>
    </w:p>
    <w:p w:rsidR="00ED1242" w:rsidRPr="002216CB" w:rsidRDefault="00915A85" w:rsidP="00414C1D">
      <w:pPr>
        <w:ind w:left="708"/>
        <w:jc w:val="both"/>
        <w:rPr>
          <w:rFonts w:ascii="Bookman Old Style" w:hAnsi="Bookman Old Style" w:cs="David"/>
          <w:sz w:val="36"/>
          <w:szCs w:val="36"/>
        </w:rPr>
      </w:pPr>
      <w:r w:rsidRPr="002216CB">
        <w:rPr>
          <w:rFonts w:ascii="Bookman Old Style" w:hAnsi="Bookman Old Style" w:cs="David"/>
          <w:sz w:val="36"/>
          <w:szCs w:val="36"/>
        </w:rPr>
        <w:t xml:space="preserve">Signé le 30 Octobre 2016, CETA est un traité international de libre-échange entre L’Union Européenne et le Canada qui a été signé le 30 Octobre 2016. </w:t>
      </w:r>
      <w:r w:rsidR="00ED1242" w:rsidRPr="002216CB">
        <w:rPr>
          <w:rFonts w:ascii="Bookman Old Style" w:hAnsi="Bookman Old Style" w:cs="David"/>
          <w:sz w:val="36"/>
          <w:szCs w:val="36"/>
        </w:rPr>
        <w:t>C’est le premier accord commercial bilatéral de l'Union Européenne qui a une grande puissance économique mais il suscite cependant de nombreuses critiques.</w:t>
      </w:r>
    </w:p>
    <w:p w:rsidR="00D173B2" w:rsidRDefault="00D173B2" w:rsidP="00414C1D">
      <w:pPr>
        <w:jc w:val="both"/>
        <w:rPr>
          <w:rFonts w:ascii="Bookman Old Style" w:hAnsi="Bookman Old Style" w:cs="David"/>
          <w:sz w:val="36"/>
          <w:szCs w:val="36"/>
        </w:rPr>
      </w:pPr>
    </w:p>
    <w:p w:rsidR="00B00405" w:rsidRPr="002216CB" w:rsidRDefault="00655114" w:rsidP="00414C1D">
      <w:pPr>
        <w:jc w:val="both"/>
        <w:rPr>
          <w:rFonts w:ascii="Bookman Old Style" w:hAnsi="Bookman Old Style" w:cs="David"/>
          <w:sz w:val="36"/>
          <w:szCs w:val="36"/>
        </w:rPr>
      </w:pPr>
      <w:r>
        <w:rPr>
          <w:rFonts w:ascii="Bookman Old Style" w:hAnsi="Bookman Old Style" w:cs="David"/>
          <w:sz w:val="36"/>
          <w:szCs w:val="36"/>
        </w:rPr>
        <w:t xml:space="preserve">L’AEGC </w:t>
      </w:r>
      <w:r w:rsidR="00B00405" w:rsidRPr="002216CB">
        <w:rPr>
          <w:rFonts w:ascii="Bookman Old Style" w:hAnsi="Bookman Old Style" w:cs="David"/>
          <w:sz w:val="36"/>
          <w:szCs w:val="36"/>
        </w:rPr>
        <w:t xml:space="preserve">est </w:t>
      </w:r>
      <w:r w:rsidR="002216CB" w:rsidRPr="002216CB">
        <w:rPr>
          <w:rFonts w:ascii="Bookman Old Style" w:hAnsi="Bookman Old Style" w:cs="David"/>
          <w:sz w:val="36"/>
          <w:szCs w:val="36"/>
        </w:rPr>
        <w:t xml:space="preserve">considéré comme le CETA mais en plus élaboré et en plus jeune. </w:t>
      </w:r>
      <w:r>
        <w:rPr>
          <w:rFonts w:ascii="Bookman Old Style" w:hAnsi="Bookman Old Style" w:cs="David"/>
          <w:sz w:val="36"/>
          <w:szCs w:val="36"/>
        </w:rPr>
        <w:t>Il réduit strictement</w:t>
      </w:r>
      <w:r w:rsidR="00B00405" w:rsidRPr="002216CB">
        <w:rPr>
          <w:rFonts w:ascii="Bookman Old Style" w:hAnsi="Bookman Old Style" w:cs="David"/>
          <w:sz w:val="36"/>
          <w:szCs w:val="36"/>
        </w:rPr>
        <w:t xml:space="preserve"> les </w:t>
      </w:r>
      <w:r>
        <w:rPr>
          <w:rFonts w:ascii="Bookman Old Style" w:hAnsi="Bookman Old Style" w:cs="David"/>
          <w:sz w:val="36"/>
          <w:szCs w:val="36"/>
        </w:rPr>
        <w:t xml:space="preserve">douanes aux entrées des différents pays, </w:t>
      </w:r>
      <w:r w:rsidR="00B00405" w:rsidRPr="002216CB">
        <w:rPr>
          <w:rFonts w:ascii="Bookman Old Style" w:hAnsi="Bookman Old Style" w:cs="David"/>
          <w:sz w:val="36"/>
          <w:szCs w:val="36"/>
        </w:rPr>
        <w:t>mais traite également de nombreux aspects liés à l'</w:t>
      </w:r>
      <w:r>
        <w:rPr>
          <w:rFonts w:ascii="Bookman Old Style" w:hAnsi="Bookman Old Style" w:cs="David"/>
          <w:sz w:val="36"/>
          <w:szCs w:val="36"/>
        </w:rPr>
        <w:t xml:space="preserve">échange </w:t>
      </w:r>
      <w:r w:rsidR="00B00405" w:rsidRPr="002216CB">
        <w:rPr>
          <w:rFonts w:ascii="Bookman Old Style" w:hAnsi="Bookman Old Style" w:cs="David"/>
          <w:sz w:val="36"/>
          <w:szCs w:val="36"/>
        </w:rPr>
        <w:t>de biens et de services et à la mise en place d'un cadre d'investissement stable et favorable aux entreprises européennes et canadiennes.</w:t>
      </w:r>
    </w:p>
    <w:p w:rsidR="009307E2" w:rsidRPr="002216CB" w:rsidRDefault="009307E2" w:rsidP="00414C1D">
      <w:pPr>
        <w:jc w:val="both"/>
        <w:rPr>
          <w:rFonts w:ascii="Bookman Old Style" w:hAnsi="Bookman Old Style" w:cs="David"/>
          <w:sz w:val="36"/>
          <w:szCs w:val="36"/>
        </w:rPr>
      </w:pPr>
    </w:p>
    <w:p w:rsidR="009307E2" w:rsidRDefault="00F00900" w:rsidP="00414C1D">
      <w:pPr>
        <w:jc w:val="both"/>
        <w:rPr>
          <w:rFonts w:ascii="Bookman Old Style" w:hAnsi="Bookman Old Style"/>
          <w:sz w:val="36"/>
          <w:szCs w:val="36"/>
        </w:rPr>
      </w:pPr>
      <w:r w:rsidRPr="00F00900">
        <w:rPr>
          <w:rFonts w:ascii="Bookman Old Style" w:hAnsi="Bookman Old Style"/>
          <w:sz w:val="36"/>
          <w:szCs w:val="36"/>
        </w:rPr>
        <w:t xml:space="preserve">Le CETA </w:t>
      </w:r>
      <w:r>
        <w:rPr>
          <w:rFonts w:ascii="Bookman Old Style" w:hAnsi="Bookman Old Style"/>
          <w:sz w:val="36"/>
          <w:szCs w:val="36"/>
        </w:rPr>
        <w:t>en cas de désaccord</w:t>
      </w:r>
      <w:r w:rsidRPr="00F00900">
        <w:rPr>
          <w:rFonts w:ascii="Bookman Old Style" w:hAnsi="Bookman Old Style"/>
          <w:sz w:val="36"/>
          <w:szCs w:val="36"/>
        </w:rPr>
        <w:t xml:space="preserve"> pourrait affaiblir la capacité des Etats à adopter certaines normes pour protéger les consommateurs, contre des insecticides ou le tabac notamment, ou </w:t>
      </w:r>
      <w:r>
        <w:rPr>
          <w:rFonts w:ascii="Bookman Old Style" w:hAnsi="Bookman Old Style"/>
          <w:sz w:val="36"/>
          <w:szCs w:val="36"/>
        </w:rPr>
        <w:t xml:space="preserve">pourrait </w:t>
      </w:r>
      <w:r w:rsidRPr="00F00900">
        <w:rPr>
          <w:rFonts w:ascii="Bookman Old Style" w:hAnsi="Bookman Old Style"/>
          <w:sz w:val="36"/>
          <w:szCs w:val="36"/>
        </w:rPr>
        <w:t xml:space="preserve">prendre </w:t>
      </w:r>
      <w:r>
        <w:rPr>
          <w:rFonts w:ascii="Bookman Old Style" w:hAnsi="Bookman Old Style"/>
          <w:sz w:val="36"/>
          <w:szCs w:val="36"/>
        </w:rPr>
        <w:t>une décision</w:t>
      </w:r>
      <w:r w:rsidRPr="00F00900">
        <w:rPr>
          <w:rFonts w:ascii="Bookman Old Style" w:hAnsi="Bookman Old Style"/>
          <w:sz w:val="36"/>
          <w:szCs w:val="36"/>
        </w:rPr>
        <w:t xml:space="preserve"> comme de sortir du nucléaire. </w:t>
      </w:r>
      <w:r>
        <w:rPr>
          <w:rFonts w:ascii="Bookman Old Style" w:hAnsi="Bookman Old Style"/>
          <w:sz w:val="36"/>
          <w:szCs w:val="36"/>
        </w:rPr>
        <w:t xml:space="preserve">Par </w:t>
      </w:r>
      <w:r w:rsidRPr="00F00900">
        <w:rPr>
          <w:rFonts w:ascii="Bookman Old Style" w:hAnsi="Bookman Old Style"/>
          <w:sz w:val="36"/>
          <w:szCs w:val="36"/>
        </w:rPr>
        <w:t>exemple</w:t>
      </w:r>
      <w:r>
        <w:rPr>
          <w:rFonts w:ascii="Bookman Old Style" w:hAnsi="Bookman Old Style"/>
          <w:sz w:val="36"/>
          <w:szCs w:val="36"/>
        </w:rPr>
        <w:t>, une plainte</w:t>
      </w:r>
      <w:r w:rsidRPr="00F00900">
        <w:rPr>
          <w:rFonts w:ascii="Bookman Old Style" w:hAnsi="Bookman Old Style"/>
          <w:sz w:val="36"/>
          <w:szCs w:val="36"/>
        </w:rPr>
        <w:t xml:space="preserve"> été déposée par</w:t>
      </w:r>
      <w:r>
        <w:rPr>
          <w:rFonts w:ascii="Bookman Old Style" w:hAnsi="Bookman Old Style"/>
          <w:sz w:val="36"/>
          <w:szCs w:val="36"/>
        </w:rPr>
        <w:t xml:space="preserve"> la société suédoise </w:t>
      </w:r>
      <w:proofErr w:type="spellStart"/>
      <w:r>
        <w:rPr>
          <w:rFonts w:ascii="Bookman Old Style" w:hAnsi="Bookman Old Style"/>
          <w:sz w:val="36"/>
          <w:szCs w:val="36"/>
        </w:rPr>
        <w:t>Vattenfall</w:t>
      </w:r>
      <w:proofErr w:type="spellEnd"/>
      <w:r>
        <w:rPr>
          <w:rFonts w:ascii="Bookman Old Style" w:hAnsi="Bookman Old Style"/>
          <w:sz w:val="36"/>
          <w:szCs w:val="36"/>
        </w:rPr>
        <w:t xml:space="preserve">, exploitant </w:t>
      </w:r>
      <w:r w:rsidRPr="00F00900">
        <w:rPr>
          <w:rFonts w:ascii="Bookman Old Style" w:hAnsi="Bookman Old Style"/>
          <w:sz w:val="36"/>
          <w:szCs w:val="36"/>
        </w:rPr>
        <w:t>deux centrales</w:t>
      </w:r>
      <w:r>
        <w:rPr>
          <w:rFonts w:ascii="Bookman Old Style" w:hAnsi="Bookman Old Style"/>
          <w:sz w:val="36"/>
          <w:szCs w:val="36"/>
        </w:rPr>
        <w:t xml:space="preserve"> nucléaires en Allemagne </w:t>
      </w:r>
      <w:r w:rsidRPr="00F00900">
        <w:rPr>
          <w:rFonts w:ascii="Bookman Old Style" w:hAnsi="Bookman Old Style"/>
          <w:sz w:val="36"/>
          <w:szCs w:val="36"/>
        </w:rPr>
        <w:t xml:space="preserve">pour demander une compensation à l’Etat allemand </w:t>
      </w:r>
      <w:r>
        <w:rPr>
          <w:rFonts w:ascii="Bookman Old Style" w:hAnsi="Bookman Old Style"/>
          <w:sz w:val="36"/>
          <w:szCs w:val="36"/>
        </w:rPr>
        <w:t xml:space="preserve">(de l’argent) </w:t>
      </w:r>
      <w:r w:rsidRPr="00F00900">
        <w:rPr>
          <w:rFonts w:ascii="Bookman Old Style" w:hAnsi="Bookman Old Style"/>
          <w:sz w:val="36"/>
          <w:szCs w:val="36"/>
        </w:rPr>
        <w:t>à la suite de sa décision d’abandonner cette source d’énergie.</w:t>
      </w:r>
    </w:p>
    <w:p w:rsidR="00B52957" w:rsidRDefault="00B52957" w:rsidP="00ED1242">
      <w:pPr>
        <w:rPr>
          <w:rFonts w:ascii="Bookman Old Style" w:hAnsi="Bookman Old Style"/>
          <w:sz w:val="36"/>
          <w:szCs w:val="36"/>
        </w:rPr>
      </w:pPr>
    </w:p>
    <w:p w:rsidR="003E3C33" w:rsidRDefault="003E3C33" w:rsidP="00ED1242">
      <w:pPr>
        <w:rPr>
          <w:rFonts w:ascii="Bookman Old Style" w:hAnsi="Bookman Old Style"/>
          <w:sz w:val="36"/>
          <w:szCs w:val="36"/>
        </w:rPr>
      </w:pPr>
    </w:p>
    <w:p w:rsidR="003E3C33" w:rsidRPr="003E3C33" w:rsidRDefault="003E3C33" w:rsidP="003E3C33">
      <w:pPr>
        <w:jc w:val="right"/>
        <w:rPr>
          <w:rFonts w:ascii="Bookman Old Style" w:hAnsi="Bookman Old Style"/>
          <w:i/>
          <w:sz w:val="28"/>
          <w:szCs w:val="36"/>
        </w:rPr>
      </w:pPr>
      <w:r w:rsidRPr="003E3C33">
        <w:rPr>
          <w:rFonts w:ascii="Bookman Old Style" w:hAnsi="Bookman Old Style"/>
          <w:i/>
          <w:sz w:val="28"/>
          <w:szCs w:val="36"/>
        </w:rPr>
        <w:t>Jeanne Amande et Clara Dos Santos 2°6</w:t>
      </w:r>
    </w:p>
    <w:p w:rsidR="00326A58" w:rsidRDefault="00326A58" w:rsidP="00ED1242">
      <w:pPr>
        <w:rPr>
          <w:rFonts w:ascii="Bookman Old Style" w:hAnsi="Bookman Old Style"/>
          <w:sz w:val="36"/>
          <w:szCs w:val="36"/>
        </w:rPr>
      </w:pPr>
    </w:p>
    <w:p w:rsidR="00326A58" w:rsidRPr="00F00900" w:rsidRDefault="00326A58" w:rsidP="00ED1242">
      <w:pPr>
        <w:rPr>
          <w:rFonts w:ascii="Bookman Old Style" w:hAnsi="Bookman Old Style"/>
          <w:sz w:val="36"/>
          <w:szCs w:val="36"/>
        </w:rPr>
      </w:pPr>
    </w:p>
    <w:p w:rsidR="00915A85" w:rsidRPr="00915A85" w:rsidRDefault="00915A85" w:rsidP="00915A85">
      <w:pPr>
        <w:rPr>
          <w:rFonts w:cs="David"/>
          <w:sz w:val="32"/>
          <w:szCs w:val="32"/>
        </w:rPr>
      </w:pPr>
    </w:p>
    <w:p w:rsidR="00915A85" w:rsidRDefault="00915A85" w:rsidP="00915A85">
      <w:pPr>
        <w:jc w:val="center"/>
      </w:pPr>
    </w:p>
    <w:sectPr w:rsidR="00915A85" w:rsidSect="00E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15A85"/>
    <w:rsid w:val="0001632C"/>
    <w:rsid w:val="002216CB"/>
    <w:rsid w:val="00326A58"/>
    <w:rsid w:val="003E3C33"/>
    <w:rsid w:val="00414C1D"/>
    <w:rsid w:val="004931F1"/>
    <w:rsid w:val="00655114"/>
    <w:rsid w:val="008507B4"/>
    <w:rsid w:val="008814E5"/>
    <w:rsid w:val="008F12B7"/>
    <w:rsid w:val="00915A85"/>
    <w:rsid w:val="009307E2"/>
    <w:rsid w:val="00AC4060"/>
    <w:rsid w:val="00B00405"/>
    <w:rsid w:val="00B52957"/>
    <w:rsid w:val="00BF1E6A"/>
    <w:rsid w:val="00D173B2"/>
    <w:rsid w:val="00EB3A90"/>
    <w:rsid w:val="00EC0A2A"/>
    <w:rsid w:val="00ED0894"/>
    <w:rsid w:val="00ED1242"/>
    <w:rsid w:val="00F0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A8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F0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6DE9E-CF40-4079-ABEA-A6B514EC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cdossantos</dc:creator>
  <cp:lastModifiedBy>blanchet</cp:lastModifiedBy>
  <cp:revision>28</cp:revision>
  <dcterms:created xsi:type="dcterms:W3CDTF">2017-10-05T13:54:00Z</dcterms:created>
  <dcterms:modified xsi:type="dcterms:W3CDTF">2017-11-09T15:42:00Z</dcterms:modified>
</cp:coreProperties>
</file>